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C1B" w:rsidRDefault="00FB0213">
      <w:pPr>
        <w:jc w:val="center"/>
        <w:rPr>
          <w:rFonts w:ascii="黑体" w:eastAsia="黑体" w:hAnsi="黑体"/>
          <w:sz w:val="44"/>
          <w:szCs w:val="48"/>
        </w:rPr>
      </w:pPr>
      <w:r>
        <w:rPr>
          <w:rFonts w:ascii="黑体" w:eastAsia="黑体" w:hAnsi="黑体" w:hint="eastAsia"/>
          <w:sz w:val="44"/>
          <w:szCs w:val="48"/>
        </w:rPr>
        <w:t>中国药科大学“药学拔尖创新人才培养计划”导师</w:t>
      </w:r>
      <w:r>
        <w:rPr>
          <w:rFonts w:ascii="黑体" w:eastAsia="黑体" w:hAnsi="黑体"/>
          <w:sz w:val="44"/>
          <w:szCs w:val="48"/>
        </w:rPr>
        <w:t>（</w:t>
      </w:r>
      <w:r>
        <w:rPr>
          <w:rFonts w:ascii="黑体" w:eastAsia="黑体" w:hAnsi="黑体" w:hint="eastAsia"/>
          <w:sz w:val="44"/>
          <w:szCs w:val="48"/>
        </w:rPr>
        <w:t>组</w:t>
      </w:r>
      <w:r>
        <w:rPr>
          <w:rFonts w:ascii="黑体" w:eastAsia="黑体" w:hAnsi="黑体"/>
          <w:sz w:val="44"/>
          <w:szCs w:val="48"/>
        </w:rPr>
        <w:t>）</w:t>
      </w:r>
      <w:r>
        <w:rPr>
          <w:rFonts w:ascii="黑体" w:eastAsia="黑体" w:hAnsi="黑体" w:hint="eastAsia"/>
          <w:sz w:val="44"/>
          <w:szCs w:val="48"/>
        </w:rPr>
        <w:t>主要职责及工作要求</w:t>
      </w:r>
    </w:p>
    <w:p w:rsidR="00C15C1B" w:rsidRDefault="00C15C1B">
      <w:pPr>
        <w:rPr>
          <w:rFonts w:ascii="仿宋" w:eastAsia="仿宋" w:hAnsi="仿宋"/>
        </w:rPr>
      </w:pPr>
    </w:p>
    <w:p w:rsidR="00C15C1B" w:rsidRDefault="00FB0213">
      <w:pPr>
        <w:pStyle w:val="a7"/>
        <w:numPr>
          <w:ilvl w:val="0"/>
          <w:numId w:val="1"/>
        </w:numPr>
        <w:ind w:left="0" w:firstLineChars="0" w:firstLine="0"/>
        <w:rPr>
          <w:rFonts w:ascii="仿宋" w:eastAsia="仿宋" w:hAnsi="仿宋"/>
          <w:b/>
          <w:bCs/>
          <w:sz w:val="28"/>
          <w:szCs w:val="32"/>
        </w:rPr>
      </w:pPr>
      <w:r>
        <w:rPr>
          <w:rFonts w:ascii="仿宋" w:eastAsia="仿宋" w:hAnsi="仿宋"/>
          <w:b/>
          <w:bCs/>
          <w:sz w:val="28"/>
          <w:szCs w:val="32"/>
        </w:rPr>
        <w:t>主要职责</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拔尖计划学生导师（以下简称</w:t>
      </w:r>
      <w:r>
        <w:rPr>
          <w:rFonts w:ascii="仿宋" w:eastAsia="仿宋" w:hAnsi="仿宋"/>
          <w:sz w:val="28"/>
          <w:szCs w:val="32"/>
        </w:rPr>
        <w:t>“</w:t>
      </w:r>
      <w:r>
        <w:rPr>
          <w:rFonts w:ascii="仿宋" w:eastAsia="仿宋" w:hAnsi="仿宋"/>
          <w:sz w:val="28"/>
          <w:szCs w:val="32"/>
        </w:rPr>
        <w:t>导师</w:t>
      </w:r>
      <w:r>
        <w:rPr>
          <w:rFonts w:ascii="仿宋" w:eastAsia="仿宋" w:hAnsi="仿宋"/>
          <w:sz w:val="28"/>
          <w:szCs w:val="32"/>
        </w:rPr>
        <w:t>”</w:t>
      </w:r>
      <w:r>
        <w:rPr>
          <w:rFonts w:ascii="仿宋" w:eastAsia="仿宋" w:hAnsi="仿宋"/>
          <w:sz w:val="28"/>
          <w:szCs w:val="32"/>
        </w:rPr>
        <w:t>）应认真了解拔尖学生教育的政策法规，执行国家、学校关于拔尖学生培养工作的规章制度，确保拔尖学生的培养质量。</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导师应根据学校拔尖学生教育工作的安排，参与拔尖学生招生工作，做好拔尖学生选拔的相关工作。</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应坚持以立德树人作为拔尖学生培养工作的根本目标，培养德才兼备、全面发展的药学拔尖创新人才，并贯穿到拔尖学生培养教育的整个过程。关注拔尖学生未来的职业发展，在思想品德、学习科研、身心健康和综合素质</w:t>
      </w:r>
      <w:r>
        <w:rPr>
          <w:rFonts w:ascii="仿宋" w:eastAsia="仿宋" w:hAnsi="仿宋" w:hint="eastAsia"/>
          <w:sz w:val="28"/>
          <w:szCs w:val="32"/>
        </w:rPr>
        <w:t>等方面全面关心拔尖学生的成长，帮助拔尖学生树立严谨的治学态度和高尚的职业道德，尤其关注学生家国情怀与跨学科创新思维训练。</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应参与制定或修订拔尖学生培养方案，并根据基本要求和拔尖学生的实际情况，与拔尖学生商定个人培养计划，对其提出学习和科研要求，指导拔尖学生选课；组织导师小组，帮助拔尖学生确定研究方向；认真组织</w:t>
      </w:r>
      <w:r>
        <w:rPr>
          <w:rFonts w:ascii="仿宋" w:eastAsia="仿宋" w:hAnsi="仿宋"/>
          <w:sz w:val="28"/>
          <w:szCs w:val="32"/>
        </w:rPr>
        <w:t>拔尖学生的综合考评和学位论文的开题报告；做好论文初审和预答辩等工作。</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导师应根据《中国药科大学教师教学规程》（</w:t>
      </w:r>
      <w:proofErr w:type="gramStart"/>
      <w:r>
        <w:rPr>
          <w:rFonts w:ascii="仿宋" w:eastAsia="仿宋" w:hAnsi="仿宋"/>
          <w:sz w:val="28"/>
          <w:szCs w:val="32"/>
        </w:rPr>
        <w:t>校教</w:t>
      </w:r>
      <w:proofErr w:type="gramEnd"/>
      <w:r>
        <w:rPr>
          <w:rFonts w:ascii="仿宋" w:eastAsia="仿宋" w:hAnsi="仿宋"/>
          <w:sz w:val="28"/>
          <w:szCs w:val="32"/>
        </w:rPr>
        <w:t>[2007]5</w:t>
      </w:r>
      <w:r>
        <w:rPr>
          <w:rFonts w:ascii="仿宋" w:eastAsia="仿宋" w:hAnsi="仿宋"/>
          <w:sz w:val="28"/>
          <w:szCs w:val="32"/>
        </w:rPr>
        <w:t>号）的要求，认真承担课程教学工作，为拔尖学生开设相关课程，并积</w:t>
      </w:r>
      <w:r>
        <w:rPr>
          <w:rFonts w:ascii="仿宋" w:eastAsia="仿宋" w:hAnsi="仿宋" w:hint="eastAsia"/>
          <w:sz w:val="28"/>
          <w:szCs w:val="32"/>
        </w:rPr>
        <w:t>极参与教材编写，及时将本学科的最新研究成果融合教学</w:t>
      </w:r>
      <w:r>
        <w:rPr>
          <w:rFonts w:ascii="仿宋" w:eastAsia="仿宋" w:hAnsi="仿宋" w:hint="eastAsia"/>
          <w:sz w:val="28"/>
          <w:szCs w:val="32"/>
        </w:rPr>
        <w:lastRenderedPageBreak/>
        <w:t>内容之中。</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在拔尖学生培养过程中，导师应及时和定期与拔尖学生沟通，检查培养计划执行情况以及科研进展情况，及时研究和解决培养过程中出现的各种问题。</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导师应指导拔尖学生系统了解和掌握本学科学术发展动态，加强科研训练，培养创新精神和实践能力；支持并为拔尖学生提供参与国内外各类学</w:t>
      </w:r>
      <w:r>
        <w:rPr>
          <w:rFonts w:ascii="仿宋" w:eastAsia="仿宋" w:hAnsi="仿宋"/>
          <w:sz w:val="28"/>
          <w:szCs w:val="32"/>
        </w:rPr>
        <w:t>术活动机会，促进拔尖学生与国内外同行专家的交流与沟通；鼓励学生参加社会实践活动，增强学生社会服务意识和责任意识等。</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导师必须重视教育和引导学生恪守学术道德，养成良好的学术作风，杜</w:t>
      </w:r>
      <w:r>
        <w:rPr>
          <w:rFonts w:ascii="仿宋" w:eastAsia="仿宋" w:hAnsi="仿宋" w:hint="eastAsia"/>
          <w:sz w:val="28"/>
          <w:szCs w:val="32"/>
        </w:rPr>
        <w:t>绝剽窃、抄袭、编造数据、谎报成果等违背学术规范的行为，并起到表率作用。</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应认真指导、审查拔尖学生的本科毕业论文（设计），坚持标准，严格把关，并配合所在院系做好毕业论文答辩的组织工作。导师对学生在学期间发表的文章及研究成果的真实性与创新性负有指导和监督的责任。</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导师对拔尖学生奖学金评定、</w:t>
      </w:r>
      <w:proofErr w:type="gramStart"/>
      <w:r>
        <w:rPr>
          <w:rFonts w:ascii="仿宋" w:eastAsia="仿宋" w:hAnsi="仿宋"/>
          <w:sz w:val="28"/>
          <w:szCs w:val="32"/>
        </w:rPr>
        <w:t>三助岗位</w:t>
      </w:r>
      <w:proofErr w:type="gramEnd"/>
      <w:r>
        <w:rPr>
          <w:rFonts w:ascii="仿宋" w:eastAsia="仿宋" w:hAnsi="仿宋"/>
          <w:sz w:val="28"/>
          <w:szCs w:val="32"/>
        </w:rPr>
        <w:t>的申请与分配、学生</w:t>
      </w:r>
      <w:proofErr w:type="gramStart"/>
      <w:r>
        <w:rPr>
          <w:rFonts w:ascii="仿宋" w:eastAsia="仿宋" w:hAnsi="仿宋"/>
          <w:sz w:val="28"/>
          <w:szCs w:val="32"/>
        </w:rPr>
        <w:t>申请本硕</w:t>
      </w:r>
      <w:proofErr w:type="gramEnd"/>
      <w:r>
        <w:rPr>
          <w:rFonts w:ascii="仿宋" w:eastAsia="仿宋" w:hAnsi="仿宋"/>
          <w:sz w:val="28"/>
          <w:szCs w:val="32"/>
        </w:rPr>
        <w:t>博连读、联</w:t>
      </w:r>
      <w:r>
        <w:rPr>
          <w:rFonts w:ascii="仿宋" w:eastAsia="仿宋" w:hAnsi="仿宋"/>
          <w:sz w:val="28"/>
          <w:szCs w:val="32"/>
        </w:rPr>
        <w:t>合培养或各类项目、优秀学位论文候选人申报等，具有建议和推荐权。</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对于所指导的学生因各种原因发生的学业问题，导师可以根据学校的规定提出学籍处理建议。</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导师有权</w:t>
      </w:r>
      <w:r>
        <w:rPr>
          <w:rFonts w:ascii="仿宋" w:eastAsia="仿宋" w:hAnsi="仿宋" w:hint="eastAsia"/>
          <w:sz w:val="28"/>
          <w:szCs w:val="32"/>
        </w:rPr>
        <w:t>依据程序，提出解除与学生指导关系的申请，经导师</w:t>
      </w:r>
      <w:r>
        <w:rPr>
          <w:rFonts w:ascii="仿宋" w:eastAsia="仿宋" w:hAnsi="仿宋" w:hint="eastAsia"/>
          <w:sz w:val="28"/>
          <w:szCs w:val="32"/>
        </w:rPr>
        <w:lastRenderedPageBreak/>
        <w:t>所在院系审核后，</w:t>
      </w:r>
      <w:proofErr w:type="gramStart"/>
      <w:r>
        <w:rPr>
          <w:rFonts w:ascii="仿宋" w:eastAsia="仿宋" w:hAnsi="仿宋" w:hint="eastAsia"/>
          <w:sz w:val="28"/>
          <w:szCs w:val="32"/>
        </w:rPr>
        <w:t>报孟目的</w:t>
      </w:r>
      <w:proofErr w:type="gramEnd"/>
      <w:r>
        <w:rPr>
          <w:rFonts w:ascii="仿宋" w:eastAsia="仿宋" w:hAnsi="仿宋" w:hint="eastAsia"/>
          <w:sz w:val="28"/>
          <w:szCs w:val="32"/>
        </w:rPr>
        <w:t>学院审批。</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导师在总结拔尖学生教育经验的基础上，有权对我校拔尖学生培养过程中遇到的问题以及拔尖学生教育中所制定的有关规章制度提出意见和建议。</w:t>
      </w:r>
    </w:p>
    <w:p w:rsidR="00C15C1B" w:rsidRDefault="00FB0213">
      <w:pPr>
        <w:pStyle w:val="a7"/>
        <w:numPr>
          <w:ilvl w:val="0"/>
          <w:numId w:val="1"/>
        </w:numPr>
        <w:ind w:firstLineChars="0"/>
        <w:rPr>
          <w:rFonts w:ascii="仿宋" w:eastAsia="仿宋" w:hAnsi="仿宋"/>
          <w:b/>
          <w:bCs/>
          <w:sz w:val="28"/>
          <w:szCs w:val="32"/>
        </w:rPr>
      </w:pPr>
      <w:r>
        <w:rPr>
          <w:rFonts w:ascii="仿宋" w:eastAsia="仿宋" w:hAnsi="仿宋"/>
          <w:b/>
          <w:bCs/>
          <w:sz w:val="28"/>
          <w:szCs w:val="32"/>
        </w:rPr>
        <w:t>工作要求</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愿意开放导师实验室，积极安排课题组成员组织报名学生参观交流；</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积极参与院校</w:t>
      </w:r>
      <w:proofErr w:type="gramStart"/>
      <w:r>
        <w:rPr>
          <w:rFonts w:ascii="仿宋" w:eastAsia="仿宋" w:hAnsi="仿宋"/>
          <w:sz w:val="28"/>
          <w:szCs w:val="32"/>
        </w:rPr>
        <w:t>科普周</w:t>
      </w:r>
      <w:proofErr w:type="gramEnd"/>
      <w:r>
        <w:rPr>
          <w:rFonts w:ascii="仿宋" w:eastAsia="仿宋" w:hAnsi="仿宋"/>
          <w:sz w:val="28"/>
          <w:szCs w:val="32"/>
        </w:rPr>
        <w:t>或学术交流活动，开设至少一次科普讲座；</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同意接收拔尖计</w:t>
      </w:r>
      <w:r>
        <w:rPr>
          <w:rFonts w:ascii="仿宋" w:eastAsia="仿宋" w:hAnsi="仿宋"/>
          <w:sz w:val="28"/>
          <w:szCs w:val="32"/>
        </w:rPr>
        <w:t>划学生进入本课题组进行科研轮训，轮训批次为</w:t>
      </w:r>
      <w:r>
        <w:rPr>
          <w:rFonts w:ascii="仿宋" w:eastAsia="仿宋" w:hAnsi="仿宋"/>
          <w:sz w:val="28"/>
          <w:szCs w:val="32"/>
        </w:rPr>
        <w:t>3</w:t>
      </w:r>
      <w:r>
        <w:rPr>
          <w:rFonts w:ascii="仿宋" w:eastAsia="仿宋" w:hAnsi="仿宋"/>
          <w:sz w:val="28"/>
          <w:szCs w:val="32"/>
        </w:rPr>
        <w:t>次，每批轮训时间为</w:t>
      </w:r>
      <w:r>
        <w:rPr>
          <w:rFonts w:ascii="仿宋" w:eastAsia="仿宋" w:hAnsi="仿宋"/>
          <w:sz w:val="28"/>
          <w:szCs w:val="32"/>
        </w:rPr>
        <w:t>4</w:t>
      </w:r>
      <w:r>
        <w:rPr>
          <w:rFonts w:ascii="仿宋" w:eastAsia="仿宋" w:hAnsi="仿宋"/>
          <w:sz w:val="28"/>
          <w:szCs w:val="32"/>
        </w:rPr>
        <w:t>周，同批</w:t>
      </w:r>
      <w:r>
        <w:rPr>
          <w:rFonts w:ascii="仿宋" w:eastAsia="仿宋" w:hAnsi="仿宋" w:hint="eastAsia"/>
          <w:sz w:val="28"/>
          <w:szCs w:val="32"/>
        </w:rPr>
        <w:t>次轮训学生人数不超过</w:t>
      </w:r>
      <w:r>
        <w:rPr>
          <w:rFonts w:ascii="仿宋" w:eastAsia="仿宋" w:hAnsi="仿宋"/>
          <w:sz w:val="28"/>
          <w:szCs w:val="32"/>
        </w:rPr>
        <w:t>5</w:t>
      </w:r>
      <w:r>
        <w:rPr>
          <w:rFonts w:ascii="仿宋" w:eastAsia="仿宋" w:hAnsi="仿宋"/>
          <w:sz w:val="28"/>
          <w:szCs w:val="32"/>
        </w:rPr>
        <w:t>人；</w:t>
      </w:r>
    </w:p>
    <w:p w:rsidR="00C15C1B" w:rsidRPr="00A866CA" w:rsidRDefault="00FB0213">
      <w:pPr>
        <w:pStyle w:val="a7"/>
        <w:numPr>
          <w:ilvl w:val="1"/>
          <w:numId w:val="1"/>
        </w:numPr>
        <w:ind w:firstLineChars="0"/>
        <w:rPr>
          <w:rFonts w:ascii="仿宋" w:eastAsia="仿宋" w:hAnsi="仿宋"/>
          <w:sz w:val="28"/>
          <w:szCs w:val="32"/>
        </w:rPr>
      </w:pPr>
      <w:r w:rsidRPr="00A866CA">
        <w:rPr>
          <w:rFonts w:ascii="仿宋" w:eastAsia="仿宋" w:hAnsi="仿宋"/>
          <w:sz w:val="28"/>
          <w:szCs w:val="32"/>
        </w:rPr>
        <w:t>在读拔尖学生人数原则上不超过</w:t>
      </w:r>
      <w:r w:rsidRPr="00A866CA">
        <w:rPr>
          <w:rFonts w:ascii="仿宋" w:eastAsia="仿宋" w:hAnsi="仿宋"/>
          <w:sz w:val="28"/>
          <w:szCs w:val="32"/>
        </w:rPr>
        <w:t>3</w:t>
      </w:r>
      <w:r w:rsidRPr="00A866CA">
        <w:rPr>
          <w:rFonts w:ascii="仿宋" w:eastAsia="仿宋" w:hAnsi="仿宋"/>
          <w:sz w:val="28"/>
          <w:szCs w:val="32"/>
        </w:rPr>
        <w:t>人；</w:t>
      </w:r>
      <w:bookmarkStart w:id="0" w:name="_GoBack"/>
      <w:bookmarkEnd w:id="0"/>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为入选学生量身定制个性化的培养方案和每学期修读计划；</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全程指导入选学生的课业学习和科研实践，全过程评价学生的培养效果；</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每周为入选学生开设一次不少于</w:t>
      </w:r>
      <w:r>
        <w:rPr>
          <w:rFonts w:ascii="仿宋" w:eastAsia="仿宋" w:hAnsi="仿宋"/>
          <w:sz w:val="28"/>
          <w:szCs w:val="32"/>
        </w:rPr>
        <w:t>2</w:t>
      </w:r>
      <w:r>
        <w:rPr>
          <w:rFonts w:ascii="仿宋" w:eastAsia="仿宋" w:hAnsi="仿宋"/>
          <w:sz w:val="28"/>
          <w:szCs w:val="32"/>
        </w:rPr>
        <w:t>学时的</w:t>
      </w:r>
      <w:r>
        <w:rPr>
          <w:rFonts w:ascii="仿宋" w:eastAsia="仿宋" w:hAnsi="仿宋"/>
          <w:sz w:val="28"/>
          <w:szCs w:val="32"/>
        </w:rPr>
        <w:t>“</w:t>
      </w:r>
      <w:r>
        <w:rPr>
          <w:rFonts w:ascii="仿宋" w:eastAsia="仿宋" w:hAnsi="仿宋"/>
          <w:sz w:val="28"/>
          <w:szCs w:val="32"/>
        </w:rPr>
        <w:t>导师课</w:t>
      </w:r>
      <w:r>
        <w:rPr>
          <w:rFonts w:ascii="仿宋" w:eastAsia="仿宋" w:hAnsi="仿宋"/>
          <w:sz w:val="28"/>
          <w:szCs w:val="32"/>
        </w:rPr>
        <w:t>”</w:t>
      </w:r>
      <w:r>
        <w:rPr>
          <w:rFonts w:ascii="仿宋" w:eastAsia="仿宋" w:hAnsi="仿宋"/>
          <w:sz w:val="28"/>
          <w:szCs w:val="32"/>
        </w:rPr>
        <w:t>；</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能够为入选学生提供国内外交流访学机会；</w:t>
      </w:r>
    </w:p>
    <w:p w:rsidR="00C15C1B" w:rsidRDefault="00FB0213">
      <w:pPr>
        <w:pStyle w:val="a7"/>
        <w:numPr>
          <w:ilvl w:val="1"/>
          <w:numId w:val="1"/>
        </w:numPr>
        <w:ind w:firstLineChars="0"/>
        <w:rPr>
          <w:rFonts w:ascii="仿宋" w:eastAsia="仿宋" w:hAnsi="仿宋"/>
          <w:sz w:val="28"/>
          <w:szCs w:val="32"/>
        </w:rPr>
      </w:pPr>
      <w:r>
        <w:rPr>
          <w:rFonts w:ascii="仿宋" w:eastAsia="仿宋" w:hAnsi="仿宋"/>
          <w:sz w:val="28"/>
          <w:szCs w:val="32"/>
        </w:rPr>
        <w:t>负责计划项目经费的具体使用和管理；</w:t>
      </w:r>
    </w:p>
    <w:p w:rsidR="00C15C1B" w:rsidRDefault="00C15C1B">
      <w:pPr>
        <w:pStyle w:val="a7"/>
        <w:ind w:firstLineChars="0" w:firstLine="0"/>
        <w:rPr>
          <w:rFonts w:ascii="仿宋" w:eastAsia="仿宋" w:hAnsi="仿宋"/>
          <w:sz w:val="28"/>
          <w:szCs w:val="32"/>
        </w:rPr>
      </w:pPr>
    </w:p>
    <w:p w:rsidR="00C15C1B" w:rsidRDefault="00FB0213">
      <w:pPr>
        <w:pStyle w:val="a7"/>
        <w:ind w:firstLineChars="0" w:firstLine="0"/>
        <w:jc w:val="right"/>
        <w:rPr>
          <w:rFonts w:ascii="仿宋" w:eastAsia="仿宋" w:hAnsi="仿宋"/>
          <w:sz w:val="28"/>
          <w:szCs w:val="32"/>
        </w:rPr>
      </w:pPr>
      <w:proofErr w:type="gramStart"/>
      <w:r>
        <w:rPr>
          <w:rFonts w:ascii="仿宋" w:eastAsia="仿宋" w:hAnsi="仿宋"/>
          <w:sz w:val="28"/>
          <w:szCs w:val="32"/>
        </w:rPr>
        <w:t>孟目的</w:t>
      </w:r>
      <w:proofErr w:type="gramEnd"/>
      <w:r>
        <w:rPr>
          <w:rFonts w:ascii="仿宋" w:eastAsia="仿宋" w:hAnsi="仿宋"/>
          <w:sz w:val="28"/>
          <w:szCs w:val="32"/>
        </w:rPr>
        <w:t>学院</w:t>
      </w:r>
    </w:p>
    <w:p w:rsidR="00C15C1B" w:rsidRDefault="00FB0213">
      <w:pPr>
        <w:pStyle w:val="a7"/>
        <w:ind w:firstLineChars="0" w:firstLine="0"/>
        <w:jc w:val="right"/>
        <w:rPr>
          <w:rFonts w:ascii="仿宋" w:eastAsia="仿宋" w:hAnsi="仿宋"/>
          <w:sz w:val="28"/>
          <w:szCs w:val="32"/>
        </w:rPr>
      </w:pPr>
      <w:r>
        <w:rPr>
          <w:rFonts w:ascii="仿宋" w:eastAsia="仿宋" w:hAnsi="仿宋"/>
          <w:sz w:val="28"/>
          <w:szCs w:val="32"/>
        </w:rPr>
        <w:t>2021</w:t>
      </w:r>
      <w:r>
        <w:rPr>
          <w:rFonts w:ascii="仿宋" w:eastAsia="仿宋" w:hAnsi="仿宋"/>
          <w:sz w:val="28"/>
          <w:szCs w:val="32"/>
        </w:rPr>
        <w:t>年</w:t>
      </w:r>
      <w:r>
        <w:rPr>
          <w:rFonts w:ascii="仿宋" w:eastAsia="仿宋" w:hAnsi="仿宋"/>
          <w:sz w:val="28"/>
          <w:szCs w:val="32"/>
        </w:rPr>
        <w:t>1</w:t>
      </w:r>
      <w:r>
        <w:rPr>
          <w:rFonts w:ascii="仿宋" w:eastAsia="仿宋" w:hAnsi="仿宋"/>
          <w:sz w:val="28"/>
          <w:szCs w:val="32"/>
        </w:rPr>
        <w:t>月</w:t>
      </w:r>
      <w:r>
        <w:rPr>
          <w:rFonts w:ascii="仿宋" w:eastAsia="仿宋" w:hAnsi="仿宋"/>
          <w:sz w:val="28"/>
          <w:szCs w:val="32"/>
        </w:rPr>
        <w:t>19</w:t>
      </w:r>
      <w:r>
        <w:rPr>
          <w:rFonts w:ascii="仿宋" w:eastAsia="仿宋" w:hAnsi="仿宋"/>
          <w:sz w:val="28"/>
          <w:szCs w:val="32"/>
        </w:rPr>
        <w:t>日</w:t>
      </w:r>
    </w:p>
    <w:sectPr w:rsidR="00C15C1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0213" w:rsidRDefault="00FB0213">
      <w:r>
        <w:separator/>
      </w:r>
    </w:p>
  </w:endnote>
  <w:endnote w:type="continuationSeparator" w:id="0">
    <w:p w:rsidR="00FB0213" w:rsidRDefault="00FB0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altName w:val="汉仪仿宋KW"/>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153528711"/>
    </w:sdtPr>
    <w:sdtEndPr/>
    <w:sdtContent>
      <w:sdt>
        <w:sdtPr>
          <w:rPr>
            <w:rFonts w:ascii="Times New Roman" w:hAnsi="Times New Roman" w:cs="Times New Roman"/>
          </w:rPr>
          <w:id w:val="-1748262176"/>
        </w:sdtPr>
        <w:sdtEndPr/>
        <w:sdtContent>
          <w:p w:rsidR="00C15C1B" w:rsidRDefault="00FB0213">
            <w:pPr>
              <w:pStyle w:val="a3"/>
              <w:rPr>
                <w:rFonts w:ascii="Times New Roman" w:hAnsi="Times New Roman" w:cs="Times New Roman"/>
              </w:rPr>
            </w:pPr>
            <w:r>
              <w:rPr>
                <w:rFonts w:ascii="Times New Roman" w:hAnsi="Times New Roman" w:cs="Times New Roman"/>
                <w:lang w:val="zh-CN"/>
              </w:rPr>
              <w:t xml:space="preserve"> </w:t>
            </w:r>
            <w:r>
              <w:rPr>
                <w:rFonts w:ascii="Times New Roman" w:hAnsi="Times New Roman" w:cs="Times New Roman"/>
                <w:sz w:val="24"/>
                <w:szCs w:val="24"/>
              </w:rPr>
              <w:fldChar w:fldCharType="begin"/>
            </w:r>
            <w:r>
              <w:rPr>
                <w:rFonts w:ascii="Times New Roman" w:hAnsi="Times New Roman" w:cs="Times New Roman"/>
              </w:rPr>
              <w:instrText>PAGE</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r>
              <w:rPr>
                <w:rFonts w:ascii="Times New Roman" w:hAnsi="Times New Roman" w:cs="Times New Roman"/>
                <w:lang w:val="zh-CN"/>
              </w:rPr>
              <w:t xml:space="preserve"> / </w:t>
            </w:r>
            <w:r>
              <w:rPr>
                <w:rFonts w:ascii="Times New Roman" w:hAnsi="Times New Roman" w:cs="Times New Roman"/>
                <w:sz w:val="24"/>
                <w:szCs w:val="24"/>
              </w:rPr>
              <w:fldChar w:fldCharType="begin"/>
            </w:r>
            <w:r>
              <w:rPr>
                <w:rFonts w:ascii="Times New Roman" w:hAnsi="Times New Roman" w:cs="Times New Roman"/>
              </w:rPr>
              <w:instrText>NUMPAGES</w:instrText>
            </w:r>
            <w:r>
              <w:rPr>
                <w:rFonts w:ascii="Times New Roman" w:hAnsi="Times New Roman" w:cs="Times New Roman"/>
                <w:sz w:val="24"/>
                <w:szCs w:val="24"/>
              </w:rPr>
              <w:fldChar w:fldCharType="separate"/>
            </w:r>
            <w:r>
              <w:rPr>
                <w:rFonts w:ascii="Times New Roman" w:hAnsi="Times New Roman" w:cs="Times New Roman"/>
                <w:lang w:val="zh-CN"/>
              </w:rPr>
              <w:t>2</w:t>
            </w:r>
            <w:r>
              <w:rPr>
                <w:rFonts w:ascii="Times New Roman" w:hAnsi="Times New Roman" w:cs="Times New Roman"/>
                <w:sz w:val="24"/>
                <w:szCs w:val="24"/>
              </w:rPr>
              <w:fldChar w:fldCharType="end"/>
            </w:r>
          </w:p>
        </w:sdtContent>
      </w:sdt>
    </w:sdtContent>
  </w:sdt>
  <w:p w:rsidR="00C15C1B" w:rsidRDefault="00C15C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0213" w:rsidRDefault="00FB0213">
      <w:r>
        <w:separator/>
      </w:r>
    </w:p>
  </w:footnote>
  <w:footnote w:type="continuationSeparator" w:id="0">
    <w:p w:rsidR="00FB0213" w:rsidRDefault="00FB0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F15D5"/>
    <w:multiLevelType w:val="multilevel"/>
    <w:tmpl w:val="1BBF15D5"/>
    <w:lvl w:ilvl="0">
      <w:start w:val="1"/>
      <w:numFmt w:val="chineseCountingThousand"/>
      <w:lvlText w:val="%1、"/>
      <w:lvlJc w:val="left"/>
      <w:pPr>
        <w:ind w:left="420" w:hanging="420"/>
      </w:pPr>
      <w:rPr>
        <w:rFonts w:hint="eastAsia"/>
        <w:lang w:val="en-US"/>
      </w:rPr>
    </w:lvl>
    <w:lvl w:ilvl="1">
      <w:start w:val="1"/>
      <w:numFmt w:val="decimal"/>
      <w:isLgl/>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8E"/>
    <w:rsid w:val="9F3F604B"/>
    <w:rsid w:val="D6CB3D85"/>
    <w:rsid w:val="F71E9258"/>
    <w:rsid w:val="FB7D04F9"/>
    <w:rsid w:val="000F0126"/>
    <w:rsid w:val="00274874"/>
    <w:rsid w:val="00533E09"/>
    <w:rsid w:val="005F4367"/>
    <w:rsid w:val="00661383"/>
    <w:rsid w:val="008A2653"/>
    <w:rsid w:val="00A866CA"/>
    <w:rsid w:val="00C15C1B"/>
    <w:rsid w:val="00DD538E"/>
    <w:rsid w:val="00FB0213"/>
    <w:rsid w:val="77DE4DF9"/>
    <w:rsid w:val="7A4FC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9BCFFB3-1C7C-4D8E-BB77-8E5B6109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Zhiwei</dc:creator>
  <cp:lastModifiedBy>Haiyun</cp:lastModifiedBy>
  <cp:revision>3</cp:revision>
  <dcterms:created xsi:type="dcterms:W3CDTF">2021-01-08T18:07:00Z</dcterms:created>
  <dcterms:modified xsi:type="dcterms:W3CDTF">2021-01-19T09:17:00Z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